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55" w:rsidRPr="00B56B55" w:rsidRDefault="00B56B55" w:rsidP="00B56B55">
      <w:pPr>
        <w:widowControl/>
        <w:jc w:val="center"/>
        <w:rPr>
          <w:rFonts w:ascii="標楷體" w:eastAsia="標楷體" w:hAnsi="標楷體"/>
          <w:sz w:val="28"/>
          <w:szCs w:val="28"/>
        </w:rPr>
      </w:pPr>
      <w:r w:rsidRPr="00B56B55">
        <w:rPr>
          <w:rFonts w:ascii="標楷體" w:eastAsia="標楷體" w:hAnsi="標楷體" w:hint="eastAsia"/>
          <w:sz w:val="28"/>
          <w:szCs w:val="28"/>
        </w:rPr>
        <w:t>臺北市101學年度國民小學身心障礙在校</w:t>
      </w:r>
      <w:r w:rsidR="00392B68">
        <w:rPr>
          <w:rFonts w:ascii="標楷體" w:eastAsia="標楷體" w:hAnsi="標楷體" w:hint="eastAsia"/>
          <w:sz w:val="28"/>
          <w:szCs w:val="28"/>
        </w:rPr>
        <w:t>學</w:t>
      </w:r>
      <w:r w:rsidRPr="00B56B55">
        <w:rPr>
          <w:rFonts w:ascii="標楷體" w:eastAsia="標楷體" w:hAnsi="標楷體" w:hint="eastAsia"/>
          <w:sz w:val="28"/>
          <w:szCs w:val="28"/>
        </w:rPr>
        <w:t>生</w:t>
      </w:r>
      <w:r w:rsidRPr="00392B68">
        <w:rPr>
          <w:rFonts w:ascii="標楷體" w:eastAsia="標楷體" w:hAnsi="標楷體" w:hint="eastAsia"/>
          <w:b/>
          <w:sz w:val="28"/>
          <w:szCs w:val="28"/>
          <w:u w:val="single"/>
        </w:rPr>
        <w:t>情緒障礙組</w:t>
      </w:r>
      <w:r w:rsidRPr="00B56B55">
        <w:rPr>
          <w:rFonts w:ascii="標楷體" w:eastAsia="標楷體" w:hAnsi="標楷體" w:hint="eastAsia"/>
          <w:sz w:val="28"/>
          <w:szCs w:val="28"/>
        </w:rPr>
        <w:t>鑑定基準與參考原則</w:t>
      </w:r>
    </w:p>
    <w:p w:rsidR="00B56B55" w:rsidRPr="00392B68" w:rsidRDefault="00B56B55" w:rsidP="00441E2B">
      <w:pPr>
        <w:pStyle w:val="a3"/>
        <w:widowControl/>
        <w:numPr>
          <w:ilvl w:val="0"/>
          <w:numId w:val="3"/>
        </w:numPr>
        <w:spacing w:beforeLines="50"/>
        <w:ind w:leftChars="0"/>
        <w:rPr>
          <w:rFonts w:ascii="標楷體" w:eastAsia="標楷體" w:hAnsi="標楷體"/>
          <w:sz w:val="28"/>
          <w:szCs w:val="28"/>
        </w:rPr>
      </w:pPr>
      <w:r w:rsidRPr="00392B68">
        <w:rPr>
          <w:rFonts w:ascii="標楷體" w:eastAsia="標楷體" w:hAnsi="標楷體" w:hint="eastAsia"/>
          <w:sz w:val="28"/>
          <w:szCs w:val="28"/>
        </w:rPr>
        <w:t>依據：</w:t>
      </w:r>
    </w:p>
    <w:p w:rsidR="00B56B55" w:rsidRPr="00392B68" w:rsidRDefault="00B56B55" w:rsidP="00441E2B">
      <w:pPr>
        <w:widowControl/>
        <w:spacing w:beforeLines="50"/>
        <w:ind w:left="993"/>
        <w:rPr>
          <w:rFonts w:ascii="標楷體" w:eastAsia="標楷體" w:hAnsi="標楷體"/>
        </w:rPr>
      </w:pPr>
      <w:r w:rsidRPr="00392B68">
        <w:rPr>
          <w:rFonts w:ascii="標楷體" w:eastAsia="標楷體" w:hAnsi="標楷體" w:hint="eastAsia"/>
        </w:rPr>
        <w:t>「身心障礙及資賦優異學生鑑定辦法」，第九條</w:t>
      </w:r>
      <w:r w:rsidR="00EA223D" w:rsidRPr="00392B68">
        <w:rPr>
          <w:rFonts w:ascii="標楷體" w:eastAsia="標楷體" w:hAnsi="標楷體" w:hint="eastAsia"/>
        </w:rPr>
        <w:t>(</w:t>
      </w:r>
      <w:r w:rsidR="00EA223D" w:rsidRPr="00392B68">
        <w:rPr>
          <w:rFonts w:ascii="標楷體" w:eastAsia="標楷體" w:hAnsi="標楷體" w:cs="細明體" w:hint="eastAsia"/>
          <w:kern w:val="0"/>
          <w:sz w:val="20"/>
          <w:szCs w:val="20"/>
        </w:rPr>
        <w:t>101.09.28</w:t>
      </w:r>
      <w:r w:rsidR="00EA223D" w:rsidRPr="00392B68">
        <w:rPr>
          <w:rFonts w:ascii="標楷體" w:eastAsia="標楷體" w:hAnsi="標楷體" w:cs="細明體"/>
          <w:kern w:val="0"/>
          <w:sz w:val="20"/>
          <w:szCs w:val="20"/>
        </w:rPr>
        <w:t>教育部</w:t>
      </w:r>
      <w:proofErr w:type="gramStart"/>
      <w:r w:rsidR="00EA223D" w:rsidRPr="00392B68">
        <w:rPr>
          <w:rFonts w:ascii="標楷體" w:eastAsia="標楷體" w:hAnsi="標楷體" w:cs="細明體"/>
          <w:kern w:val="0"/>
          <w:sz w:val="20"/>
          <w:szCs w:val="20"/>
        </w:rPr>
        <w:t>臺參字</w:t>
      </w:r>
      <w:proofErr w:type="gramEnd"/>
      <w:r w:rsidR="00EA223D" w:rsidRPr="00392B68">
        <w:rPr>
          <w:rFonts w:ascii="標楷體" w:eastAsia="標楷體" w:hAnsi="標楷體" w:cs="細明體"/>
          <w:kern w:val="0"/>
          <w:sz w:val="20"/>
          <w:szCs w:val="20"/>
        </w:rPr>
        <w:t>第 1010173092C號令</w:t>
      </w:r>
      <w:r w:rsidR="00EA223D" w:rsidRPr="00392B68">
        <w:rPr>
          <w:rFonts w:ascii="標楷體" w:eastAsia="標楷體" w:hAnsi="標楷體" w:hint="eastAsia"/>
        </w:rPr>
        <w:t>)</w:t>
      </w:r>
    </w:p>
    <w:p w:rsidR="00B56B55" w:rsidRDefault="00B56B55" w:rsidP="00441E2B">
      <w:pPr>
        <w:pStyle w:val="a3"/>
        <w:widowControl/>
        <w:spacing w:beforeLines="50"/>
        <w:ind w:leftChars="0" w:left="949"/>
        <w:rPr>
          <w:rFonts w:ascii="標楷體" w:eastAsia="標楷體" w:hAnsi="標楷體"/>
        </w:rPr>
      </w:pPr>
      <w:r w:rsidRPr="00B56B55">
        <w:rPr>
          <w:rFonts w:ascii="標楷體" w:eastAsia="標楷體" w:hAnsi="標楷體" w:hint="eastAsia"/>
        </w:rPr>
        <w:t>本法第三條第七款所稱情緒行為障礙，指長期情緒或行為表現顯著異常，嚴重影響學校適應者；其障礙非因智能、感官或健康等因素直接造成之結果。</w:t>
      </w:r>
    </w:p>
    <w:p w:rsidR="00B56B55" w:rsidRDefault="00B56B55" w:rsidP="00441E2B">
      <w:pPr>
        <w:pStyle w:val="a3"/>
        <w:widowControl/>
        <w:spacing w:beforeLines="50"/>
        <w:ind w:leftChars="0" w:left="949"/>
        <w:rPr>
          <w:rFonts w:ascii="標楷體" w:eastAsia="標楷體" w:hAnsi="標楷體"/>
        </w:rPr>
      </w:pPr>
      <w:r w:rsidRPr="00B56B55">
        <w:rPr>
          <w:rFonts w:ascii="標楷體" w:eastAsia="標楷體" w:hAnsi="標楷體" w:hint="eastAsia"/>
        </w:rPr>
        <w:t>前項情緒行為障礙之症狀，包括精神性疾患、情感性疾患、畏懼性疾患、焦慮性疾患、注意力缺陷過動症、或有其他持續性之情緒或行為問題者。</w:t>
      </w:r>
    </w:p>
    <w:p w:rsidR="00B56B55" w:rsidRPr="00B56B55" w:rsidRDefault="00B56B55" w:rsidP="00441E2B">
      <w:pPr>
        <w:pStyle w:val="a3"/>
        <w:widowControl/>
        <w:spacing w:beforeLines="50"/>
        <w:ind w:leftChars="0" w:left="949"/>
        <w:rPr>
          <w:rFonts w:ascii="標楷體" w:eastAsia="標楷體" w:hAnsi="標楷體"/>
        </w:rPr>
      </w:pPr>
      <w:r w:rsidRPr="00B56B55">
        <w:rPr>
          <w:rFonts w:ascii="標楷體" w:eastAsia="標楷體" w:hAnsi="標楷體" w:hint="eastAsia"/>
        </w:rPr>
        <w:t>第一項所定情緒行為障礙，其鑑定基準依下列各款規定：</w:t>
      </w:r>
    </w:p>
    <w:p w:rsidR="00B56B55" w:rsidRDefault="00B56B55" w:rsidP="00441E2B">
      <w:pPr>
        <w:pStyle w:val="a3"/>
        <w:widowControl/>
        <w:numPr>
          <w:ilvl w:val="0"/>
          <w:numId w:val="5"/>
        </w:numPr>
        <w:suppressAutoHyphens/>
        <w:spacing w:beforeLines="50"/>
        <w:ind w:leftChars="0" w:left="1134" w:hanging="306"/>
        <w:rPr>
          <w:rFonts w:ascii="標楷體" w:eastAsia="標楷體" w:hAnsi="標楷體"/>
        </w:rPr>
      </w:pPr>
      <w:r w:rsidRPr="00B56B55">
        <w:rPr>
          <w:rFonts w:ascii="標楷體" w:eastAsia="標楷體" w:hAnsi="標楷體" w:hint="eastAsia"/>
        </w:rPr>
        <w:t>情緒或行為表現顯著異於其同年齡或社會文化之常態者，得參考精神科醫師之診斷認定之。</w:t>
      </w:r>
    </w:p>
    <w:p w:rsidR="00B56B55" w:rsidRDefault="00B56B55" w:rsidP="00441E2B">
      <w:pPr>
        <w:pStyle w:val="a3"/>
        <w:widowControl/>
        <w:numPr>
          <w:ilvl w:val="0"/>
          <w:numId w:val="5"/>
        </w:numPr>
        <w:spacing w:beforeLines="50"/>
        <w:ind w:leftChars="0" w:left="1134" w:hanging="305"/>
        <w:rPr>
          <w:rFonts w:ascii="標楷體" w:eastAsia="標楷體" w:hAnsi="標楷體"/>
        </w:rPr>
      </w:pPr>
      <w:r w:rsidRPr="00B56B55">
        <w:rPr>
          <w:rFonts w:ascii="標楷體" w:eastAsia="標楷體" w:hAnsi="標楷體" w:hint="eastAsia"/>
        </w:rPr>
        <w:t>除學校外，在家庭、社區、社會或任</w:t>
      </w:r>
      <w:proofErr w:type="gramStart"/>
      <w:r w:rsidRPr="00B56B55">
        <w:rPr>
          <w:rFonts w:ascii="標楷體" w:eastAsia="標楷體" w:hAnsi="標楷體" w:hint="eastAsia"/>
        </w:rPr>
        <w:t>一</w:t>
      </w:r>
      <w:proofErr w:type="gramEnd"/>
      <w:r w:rsidRPr="00B56B55">
        <w:rPr>
          <w:rFonts w:ascii="標楷體" w:eastAsia="標楷體" w:hAnsi="標楷體" w:hint="eastAsia"/>
        </w:rPr>
        <w:t>情境中顯現適應困難。</w:t>
      </w:r>
    </w:p>
    <w:p w:rsidR="00B56B55" w:rsidRPr="00B56B55" w:rsidRDefault="00B56B55" w:rsidP="00441E2B">
      <w:pPr>
        <w:pStyle w:val="a3"/>
        <w:widowControl/>
        <w:numPr>
          <w:ilvl w:val="0"/>
          <w:numId w:val="5"/>
        </w:numPr>
        <w:spacing w:beforeLines="50"/>
        <w:ind w:leftChars="0" w:left="1134" w:hanging="305"/>
        <w:rPr>
          <w:rFonts w:ascii="標楷體" w:eastAsia="標楷體" w:hAnsi="標楷體"/>
        </w:rPr>
      </w:pPr>
      <w:r w:rsidRPr="00B56B55">
        <w:rPr>
          <w:rFonts w:ascii="標楷體" w:eastAsia="標楷體" w:hAnsi="標楷體" w:hint="eastAsia"/>
        </w:rPr>
        <w:t>在學業、社會、人際、生活等適應有顯著困難，且經評估後確定一般教育所提供之介入，仍難獲得有效改善。</w:t>
      </w:r>
    </w:p>
    <w:p w:rsidR="00B56B55" w:rsidRPr="00392B68" w:rsidRDefault="00B56B55" w:rsidP="00441E2B">
      <w:pPr>
        <w:pStyle w:val="a3"/>
        <w:widowControl/>
        <w:numPr>
          <w:ilvl w:val="0"/>
          <w:numId w:val="3"/>
        </w:numPr>
        <w:spacing w:beforeLines="50"/>
        <w:ind w:leftChars="0"/>
        <w:rPr>
          <w:rFonts w:ascii="標楷體" w:eastAsia="標楷體" w:hAnsi="標楷體"/>
          <w:sz w:val="28"/>
          <w:szCs w:val="28"/>
        </w:rPr>
      </w:pPr>
      <w:r w:rsidRPr="00392B68">
        <w:rPr>
          <w:rFonts w:ascii="標楷體" w:eastAsia="標楷體" w:hAnsi="標楷體" w:hint="eastAsia"/>
          <w:sz w:val="28"/>
          <w:szCs w:val="28"/>
        </w:rPr>
        <w:t>鑑定原則：</w:t>
      </w:r>
    </w:p>
    <w:p w:rsidR="00B56B55" w:rsidRPr="00392B68" w:rsidRDefault="00B56B55" w:rsidP="00441E2B">
      <w:pPr>
        <w:pStyle w:val="a3"/>
        <w:widowControl/>
        <w:numPr>
          <w:ilvl w:val="0"/>
          <w:numId w:val="7"/>
        </w:numPr>
        <w:spacing w:beforeLines="50"/>
        <w:ind w:leftChars="0"/>
        <w:rPr>
          <w:rFonts w:ascii="標楷體" w:eastAsia="標楷體" w:hAnsi="標楷體"/>
        </w:rPr>
      </w:pPr>
      <w:r w:rsidRPr="00392B68">
        <w:rPr>
          <w:rFonts w:ascii="標楷體" w:eastAsia="標楷體" w:hAnsi="標楷體" w:hint="eastAsia"/>
        </w:rPr>
        <w:t>一般教育環境下所提供之介入，仍難獲得有效改善，再轉</w:t>
      </w:r>
      <w:proofErr w:type="gramStart"/>
      <w:r w:rsidRPr="00392B68">
        <w:rPr>
          <w:rFonts w:ascii="標楷體" w:eastAsia="標楷體" w:hAnsi="標楷體" w:hint="eastAsia"/>
        </w:rPr>
        <w:t>介</w:t>
      </w:r>
      <w:proofErr w:type="gramEnd"/>
      <w:r w:rsidRPr="00392B68">
        <w:rPr>
          <w:rFonts w:ascii="標楷體" w:eastAsia="標楷體" w:hAnsi="標楷體" w:hint="eastAsia"/>
        </w:rPr>
        <w:t>鑑</w:t>
      </w:r>
      <w:r w:rsidR="00C51818" w:rsidRPr="00392B68">
        <w:rPr>
          <w:rFonts w:ascii="標楷體" w:eastAsia="標楷體" w:hAnsi="標楷體" w:hint="eastAsia"/>
        </w:rPr>
        <w:t>定：</w:t>
      </w:r>
    </w:p>
    <w:p w:rsidR="00B56B55" w:rsidRDefault="00B56B55" w:rsidP="00441E2B">
      <w:pPr>
        <w:pStyle w:val="a3"/>
        <w:widowControl/>
        <w:numPr>
          <w:ilvl w:val="0"/>
          <w:numId w:val="6"/>
        </w:numPr>
        <w:spacing w:beforeLines="50"/>
        <w:ind w:leftChars="0" w:left="1134" w:hanging="283"/>
        <w:rPr>
          <w:rFonts w:ascii="標楷體" w:eastAsia="標楷體" w:hAnsi="標楷體"/>
        </w:rPr>
      </w:pPr>
      <w:r w:rsidRPr="00B56B55">
        <w:rPr>
          <w:rFonts w:ascii="標楷體" w:eastAsia="標楷體" w:hAnsi="標楷體" w:hint="eastAsia"/>
        </w:rPr>
        <w:t>所謂一般教育環境介入係指學生在普通班輔導介入後仍有顯著適應困難，普通班老師、輔導老師或其他專業人員，針對學生之情緒行為問題，進行密集與長期(至少六個月或一學期以上)之進一步介入。</w:t>
      </w:r>
    </w:p>
    <w:p w:rsidR="00B56B55" w:rsidRDefault="00B56B55" w:rsidP="00441E2B">
      <w:pPr>
        <w:pStyle w:val="a3"/>
        <w:widowControl/>
        <w:numPr>
          <w:ilvl w:val="0"/>
          <w:numId w:val="6"/>
        </w:numPr>
        <w:spacing w:beforeLines="50"/>
        <w:ind w:leftChars="0" w:left="1134" w:hanging="283"/>
        <w:rPr>
          <w:rFonts w:ascii="標楷體" w:eastAsia="標楷體" w:hAnsi="標楷體"/>
        </w:rPr>
      </w:pPr>
      <w:r w:rsidRPr="00B56B55">
        <w:rPr>
          <w:rFonts w:ascii="標楷體" w:eastAsia="標楷體" w:hAnsi="標楷體" w:hint="eastAsia"/>
        </w:rPr>
        <w:t>一般教育環境介入包含教師班級調整、輔導諮商、醫療等輔導與教育方法。</w:t>
      </w:r>
    </w:p>
    <w:p w:rsidR="00B56B55" w:rsidRDefault="00B56B55" w:rsidP="00441E2B">
      <w:pPr>
        <w:pStyle w:val="a3"/>
        <w:widowControl/>
        <w:numPr>
          <w:ilvl w:val="0"/>
          <w:numId w:val="6"/>
        </w:numPr>
        <w:spacing w:beforeLines="50"/>
        <w:ind w:leftChars="0" w:left="1134" w:hanging="283"/>
        <w:rPr>
          <w:rFonts w:ascii="標楷體" w:eastAsia="標楷體" w:hAnsi="標楷體"/>
        </w:rPr>
      </w:pPr>
      <w:r w:rsidRPr="00B56B55">
        <w:rPr>
          <w:rFonts w:ascii="標楷體" w:eastAsia="標楷體" w:hAnsi="標楷體" w:hint="eastAsia"/>
        </w:rPr>
        <w:t>一般教育環境介入無顯著成效或成效不穩定者，再轉</w:t>
      </w:r>
      <w:proofErr w:type="gramStart"/>
      <w:r w:rsidRPr="00B56B55">
        <w:rPr>
          <w:rFonts w:ascii="標楷體" w:eastAsia="標楷體" w:hAnsi="標楷體" w:hint="eastAsia"/>
        </w:rPr>
        <w:t>介</w:t>
      </w:r>
      <w:proofErr w:type="gramEnd"/>
      <w:r w:rsidRPr="00B56B55">
        <w:rPr>
          <w:rFonts w:ascii="標楷體" w:eastAsia="標楷體" w:hAnsi="標楷體" w:hint="eastAsia"/>
        </w:rPr>
        <w:t>鑑定。</w:t>
      </w:r>
    </w:p>
    <w:p w:rsidR="00B56B55" w:rsidRPr="00B56B55" w:rsidRDefault="00B56B55" w:rsidP="00441E2B">
      <w:pPr>
        <w:pStyle w:val="a3"/>
        <w:widowControl/>
        <w:numPr>
          <w:ilvl w:val="0"/>
          <w:numId w:val="6"/>
        </w:numPr>
        <w:spacing w:beforeLines="50"/>
        <w:ind w:leftChars="0" w:left="1134" w:hanging="283"/>
        <w:rPr>
          <w:rFonts w:ascii="標楷體" w:eastAsia="標楷體" w:hAnsi="標楷體"/>
        </w:rPr>
      </w:pPr>
      <w:r w:rsidRPr="00B56B55">
        <w:rPr>
          <w:rFonts w:ascii="標楷體" w:eastAsia="標楷體" w:hAnsi="標楷體" w:hint="eastAsia"/>
        </w:rPr>
        <w:t>所謂仍難獲得有效改善係指學生在一般教育環境下接受介入後，其情緒或行為表現仍顯著異於其同年齡或社會文化之常態者。</w:t>
      </w:r>
    </w:p>
    <w:p w:rsidR="00B56B55" w:rsidRPr="00392B68" w:rsidRDefault="00B56B55" w:rsidP="00441E2B">
      <w:pPr>
        <w:pStyle w:val="a3"/>
        <w:widowControl/>
        <w:numPr>
          <w:ilvl w:val="0"/>
          <w:numId w:val="7"/>
        </w:numPr>
        <w:spacing w:beforeLines="50"/>
        <w:ind w:leftChars="0"/>
        <w:rPr>
          <w:rFonts w:ascii="標楷體" w:eastAsia="標楷體" w:hAnsi="標楷體"/>
        </w:rPr>
      </w:pPr>
      <w:r w:rsidRPr="00392B68">
        <w:rPr>
          <w:rFonts w:ascii="標楷體" w:eastAsia="標楷體" w:hAnsi="標楷體" w:hint="eastAsia"/>
        </w:rPr>
        <w:t>排除因素：</w:t>
      </w:r>
    </w:p>
    <w:p w:rsidR="00B56B55" w:rsidRDefault="00B56B55" w:rsidP="00441E2B">
      <w:pPr>
        <w:pStyle w:val="a3"/>
        <w:widowControl/>
        <w:numPr>
          <w:ilvl w:val="0"/>
          <w:numId w:val="8"/>
        </w:numPr>
        <w:spacing w:beforeLines="50"/>
        <w:ind w:leftChars="0" w:left="1134" w:hanging="305"/>
        <w:rPr>
          <w:rFonts w:ascii="標楷體" w:eastAsia="標楷體" w:hAnsi="標楷體"/>
        </w:rPr>
      </w:pPr>
      <w:r w:rsidRPr="00B56B55">
        <w:rPr>
          <w:rFonts w:ascii="標楷體" w:eastAsia="標楷體" w:hAnsi="標楷體" w:hint="eastAsia"/>
        </w:rPr>
        <w:t>非智能障礙直接造成之結果。</w:t>
      </w:r>
    </w:p>
    <w:p w:rsidR="00B56B55" w:rsidRDefault="00B56B55" w:rsidP="00441E2B">
      <w:pPr>
        <w:pStyle w:val="a3"/>
        <w:widowControl/>
        <w:numPr>
          <w:ilvl w:val="0"/>
          <w:numId w:val="8"/>
        </w:numPr>
        <w:spacing w:beforeLines="50"/>
        <w:ind w:leftChars="0" w:left="1134" w:hanging="305"/>
        <w:rPr>
          <w:rFonts w:ascii="標楷體" w:eastAsia="標楷體" w:hAnsi="標楷體"/>
        </w:rPr>
      </w:pPr>
      <w:r w:rsidRPr="00B56B55">
        <w:rPr>
          <w:rFonts w:ascii="標楷體" w:eastAsia="標楷體" w:hAnsi="標楷體" w:hint="eastAsia"/>
        </w:rPr>
        <w:t>非感官功能障礙直接造成之結果。</w:t>
      </w:r>
    </w:p>
    <w:p w:rsidR="00B56B55" w:rsidRDefault="00B56B55" w:rsidP="00441E2B">
      <w:pPr>
        <w:pStyle w:val="a3"/>
        <w:widowControl/>
        <w:numPr>
          <w:ilvl w:val="0"/>
          <w:numId w:val="8"/>
        </w:numPr>
        <w:spacing w:beforeLines="50"/>
        <w:ind w:leftChars="0" w:left="1134" w:hanging="305"/>
        <w:rPr>
          <w:rFonts w:ascii="標楷體" w:eastAsia="標楷體" w:hAnsi="標楷體"/>
        </w:rPr>
      </w:pPr>
      <w:r w:rsidRPr="00B56B55">
        <w:rPr>
          <w:rFonts w:ascii="標楷體" w:eastAsia="標楷體" w:hAnsi="標楷體" w:hint="eastAsia"/>
        </w:rPr>
        <w:t>非健康因素直接造成之結果。</w:t>
      </w:r>
    </w:p>
    <w:p w:rsidR="00B56B55" w:rsidRPr="00B56B55" w:rsidRDefault="00B56B55" w:rsidP="00441E2B">
      <w:pPr>
        <w:pStyle w:val="a3"/>
        <w:widowControl/>
        <w:numPr>
          <w:ilvl w:val="0"/>
          <w:numId w:val="7"/>
        </w:numPr>
        <w:spacing w:beforeLines="50"/>
        <w:ind w:leftChars="0"/>
        <w:rPr>
          <w:rFonts w:ascii="標楷體" w:eastAsia="標楷體" w:hAnsi="標楷體"/>
        </w:rPr>
      </w:pPr>
      <w:r w:rsidRPr="00392B68">
        <w:rPr>
          <w:rFonts w:ascii="標楷體" w:eastAsia="標楷體" w:hAnsi="標楷體" w:hint="eastAsia"/>
        </w:rPr>
        <w:t>長期：</w:t>
      </w:r>
      <w:r w:rsidR="00EE6A9A" w:rsidRPr="00441E2B">
        <w:rPr>
          <w:rFonts w:ascii="標楷體" w:eastAsia="標楷體" w:hAnsi="標楷體" w:hint="eastAsia"/>
          <w:b/>
          <w:color w:val="FF0000"/>
        </w:rPr>
        <w:t>情緒行為問題出現的時間持續至少六個月以上</w:t>
      </w:r>
      <w:r w:rsidR="00EE6A9A" w:rsidRPr="00441E2B">
        <w:rPr>
          <w:rFonts w:ascii="標楷體" w:eastAsia="標楷體" w:hAnsi="標楷體"/>
          <w:b/>
          <w:color w:val="FF0000"/>
        </w:rPr>
        <w:t>，</w:t>
      </w:r>
      <w:r w:rsidRPr="00441E2B">
        <w:rPr>
          <w:rFonts w:ascii="標楷體" w:eastAsia="標楷體" w:hAnsi="標楷體" w:hint="eastAsia"/>
          <w:b/>
          <w:color w:val="FF0000"/>
        </w:rPr>
        <w:t>如一年級學生應追溯其學前教育史。</w:t>
      </w:r>
    </w:p>
    <w:p w:rsidR="00E45814" w:rsidRDefault="00B56B55" w:rsidP="00441E2B">
      <w:pPr>
        <w:pStyle w:val="a3"/>
        <w:widowControl/>
        <w:numPr>
          <w:ilvl w:val="0"/>
          <w:numId w:val="7"/>
        </w:numPr>
        <w:spacing w:beforeLines="50"/>
        <w:ind w:leftChars="0"/>
        <w:rPr>
          <w:rFonts w:ascii="標楷體" w:eastAsia="標楷體" w:hAnsi="標楷體"/>
        </w:rPr>
      </w:pPr>
      <w:r w:rsidRPr="00392B68">
        <w:rPr>
          <w:rFonts w:ascii="標楷體" w:eastAsia="標楷體" w:hAnsi="標楷體" w:hint="eastAsia"/>
        </w:rPr>
        <w:lastRenderedPageBreak/>
        <w:t>跨情境：</w:t>
      </w:r>
      <w:r w:rsidRPr="00B56B55">
        <w:rPr>
          <w:rFonts w:ascii="標楷體" w:eastAsia="標楷體" w:hAnsi="標楷體" w:hint="eastAsia"/>
        </w:rPr>
        <w:t>除在學校外，至少在其他一個情境中顯現適應困難者。除學校外，在家庭、社區、社會或任</w:t>
      </w:r>
      <w:proofErr w:type="gramStart"/>
      <w:r w:rsidRPr="00B56B55">
        <w:rPr>
          <w:rFonts w:ascii="標楷體" w:eastAsia="標楷體" w:hAnsi="標楷體" w:hint="eastAsia"/>
        </w:rPr>
        <w:t>一</w:t>
      </w:r>
      <w:proofErr w:type="gramEnd"/>
      <w:r w:rsidRPr="00B56B55">
        <w:rPr>
          <w:rFonts w:ascii="標楷體" w:eastAsia="標楷體" w:hAnsi="標楷體" w:hint="eastAsia"/>
        </w:rPr>
        <w:t>情境中顯現適應困難。</w:t>
      </w:r>
    </w:p>
    <w:p w:rsidR="00B56B55" w:rsidRPr="00392B68" w:rsidRDefault="00B56B55" w:rsidP="00441E2B">
      <w:pPr>
        <w:pStyle w:val="a3"/>
        <w:widowControl/>
        <w:numPr>
          <w:ilvl w:val="0"/>
          <w:numId w:val="7"/>
        </w:numPr>
        <w:spacing w:beforeLines="50"/>
        <w:ind w:leftChars="0"/>
        <w:rPr>
          <w:rFonts w:ascii="標楷體" w:eastAsia="標楷體" w:hAnsi="標楷體"/>
        </w:rPr>
      </w:pPr>
      <w:r w:rsidRPr="00392B68">
        <w:rPr>
          <w:rFonts w:ascii="標楷體" w:eastAsia="標楷體" w:hAnsi="標楷體" w:hint="eastAsia"/>
        </w:rPr>
        <w:t>嚴重影響學校適應：</w:t>
      </w:r>
    </w:p>
    <w:p w:rsidR="00B56B55" w:rsidRPr="00B56B55" w:rsidRDefault="00B56B55" w:rsidP="00441E2B">
      <w:pPr>
        <w:pStyle w:val="a3"/>
        <w:widowControl/>
        <w:numPr>
          <w:ilvl w:val="0"/>
          <w:numId w:val="9"/>
        </w:numPr>
        <w:adjustRightInd w:val="0"/>
        <w:spacing w:beforeLines="50"/>
        <w:ind w:leftChars="0" w:left="993" w:hanging="284"/>
        <w:rPr>
          <w:rFonts w:ascii="標楷體" w:eastAsia="標楷體" w:hAnsi="標楷體"/>
        </w:rPr>
      </w:pPr>
      <w:r w:rsidRPr="00B56B55">
        <w:rPr>
          <w:rFonts w:ascii="標楷體" w:eastAsia="標楷體" w:hAnsi="標楷體" w:hint="eastAsia"/>
        </w:rPr>
        <w:t>情緒或行為表現顯著異於其同年齡或社會文化之常態者。</w:t>
      </w:r>
    </w:p>
    <w:p w:rsidR="00B56B55" w:rsidRPr="00B56B55" w:rsidRDefault="00B56B55" w:rsidP="00441E2B">
      <w:pPr>
        <w:pStyle w:val="a3"/>
        <w:widowControl/>
        <w:numPr>
          <w:ilvl w:val="0"/>
          <w:numId w:val="9"/>
        </w:numPr>
        <w:adjustRightInd w:val="0"/>
        <w:spacing w:beforeLines="50"/>
        <w:ind w:leftChars="0" w:left="993" w:hanging="284"/>
        <w:rPr>
          <w:rFonts w:ascii="標楷體" w:eastAsia="標楷體" w:hAnsi="標楷體"/>
        </w:rPr>
      </w:pPr>
      <w:r w:rsidRPr="00B56B55">
        <w:rPr>
          <w:rFonts w:ascii="標楷體" w:eastAsia="標楷體" w:hAnsi="標楷體" w:hint="eastAsia"/>
        </w:rPr>
        <w:t>學校適應困難已嚴重影響自己或他人，其情形說明如下：</w:t>
      </w:r>
    </w:p>
    <w:tbl>
      <w:tblPr>
        <w:tblpPr w:leftFromText="180" w:rightFromText="180" w:vertAnchor="text" w:horzAnchor="page" w:tblpX="1501"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5"/>
        <w:gridCol w:w="8151"/>
      </w:tblGrid>
      <w:tr w:rsidR="00B56B55" w:rsidRPr="00B56B55" w:rsidTr="00A96DEB">
        <w:trPr>
          <w:cantSplit/>
          <w:trHeight w:val="312"/>
        </w:trPr>
        <w:tc>
          <w:tcPr>
            <w:tcW w:w="1455" w:type="dxa"/>
            <w:vMerge w:val="restart"/>
            <w:shd w:val="clear" w:color="auto" w:fill="D9D9D9" w:themeFill="background1" w:themeFillShade="D9"/>
            <w:vAlign w:val="center"/>
          </w:tcPr>
          <w:p w:rsidR="00B56B55" w:rsidRPr="00B56B55" w:rsidRDefault="00B56B55" w:rsidP="00B56B55">
            <w:pPr>
              <w:widowControl/>
              <w:snapToGrid w:val="0"/>
              <w:jc w:val="center"/>
              <w:rPr>
                <w:rFonts w:ascii="標楷體" w:eastAsia="標楷體" w:hAnsi="標楷體" w:cs="Times New Roman"/>
                <w:szCs w:val="24"/>
              </w:rPr>
            </w:pPr>
            <w:r w:rsidRPr="00B56B55">
              <w:rPr>
                <w:rFonts w:ascii="標楷體" w:eastAsia="標楷體" w:hAnsi="標楷體" w:cs="Times New Roman" w:hint="eastAsia"/>
                <w:szCs w:val="24"/>
              </w:rPr>
              <w:t>領    域</w:t>
            </w:r>
          </w:p>
        </w:tc>
        <w:tc>
          <w:tcPr>
            <w:tcW w:w="8151" w:type="dxa"/>
            <w:vMerge w:val="restart"/>
            <w:shd w:val="clear" w:color="auto" w:fill="D9D9D9" w:themeFill="background1" w:themeFillShade="D9"/>
            <w:vAlign w:val="center"/>
          </w:tcPr>
          <w:p w:rsidR="00B56B55" w:rsidRPr="00B56B55" w:rsidRDefault="00B56B55" w:rsidP="00B56B55">
            <w:pPr>
              <w:widowControl/>
              <w:snapToGrid w:val="0"/>
              <w:jc w:val="center"/>
              <w:rPr>
                <w:rFonts w:ascii="標楷體" w:eastAsia="標楷體" w:hAnsi="標楷體" w:cs="Times New Roman"/>
                <w:szCs w:val="24"/>
              </w:rPr>
            </w:pPr>
            <w:r w:rsidRPr="00B56B55">
              <w:rPr>
                <w:rFonts w:ascii="標楷體" w:eastAsia="標楷體" w:hAnsi="標楷體" w:cs="Times New Roman" w:hint="eastAsia"/>
                <w:szCs w:val="24"/>
              </w:rPr>
              <w:t>說     明</w:t>
            </w:r>
          </w:p>
        </w:tc>
      </w:tr>
      <w:tr w:rsidR="00B56B55" w:rsidRPr="00B56B55" w:rsidTr="00A96DEB">
        <w:trPr>
          <w:cantSplit/>
          <w:trHeight w:val="312"/>
        </w:trPr>
        <w:tc>
          <w:tcPr>
            <w:tcW w:w="1455" w:type="dxa"/>
            <w:vMerge/>
            <w:shd w:val="clear" w:color="auto" w:fill="D9D9D9" w:themeFill="background1" w:themeFillShade="D9"/>
            <w:vAlign w:val="center"/>
          </w:tcPr>
          <w:p w:rsidR="00B56B55" w:rsidRPr="00B56B55" w:rsidRDefault="00B56B55" w:rsidP="00B56B55">
            <w:pPr>
              <w:widowControl/>
              <w:snapToGrid w:val="0"/>
              <w:jc w:val="center"/>
              <w:rPr>
                <w:rFonts w:ascii="標楷體" w:eastAsia="標楷體" w:hAnsi="標楷體" w:cs="Times New Roman"/>
                <w:szCs w:val="24"/>
              </w:rPr>
            </w:pPr>
          </w:p>
        </w:tc>
        <w:tc>
          <w:tcPr>
            <w:tcW w:w="8151" w:type="dxa"/>
            <w:vMerge/>
            <w:shd w:val="clear" w:color="auto" w:fill="D9D9D9" w:themeFill="background1" w:themeFillShade="D9"/>
            <w:vAlign w:val="center"/>
          </w:tcPr>
          <w:p w:rsidR="00B56B55" w:rsidRPr="00B56B55" w:rsidRDefault="00B56B55" w:rsidP="00B56B55">
            <w:pPr>
              <w:widowControl/>
              <w:snapToGrid w:val="0"/>
              <w:rPr>
                <w:rFonts w:ascii="標楷體" w:eastAsia="標楷體" w:hAnsi="標楷體" w:cs="Times New Roman"/>
                <w:szCs w:val="24"/>
              </w:rPr>
            </w:pPr>
          </w:p>
        </w:tc>
      </w:tr>
      <w:tr w:rsidR="00B56B55" w:rsidRPr="00B56B55" w:rsidTr="00B56B55">
        <w:trPr>
          <w:trHeight w:val="642"/>
        </w:trPr>
        <w:tc>
          <w:tcPr>
            <w:tcW w:w="1455" w:type="dxa"/>
            <w:vAlign w:val="center"/>
          </w:tcPr>
          <w:p w:rsidR="00B56B55" w:rsidRPr="00B56B55" w:rsidRDefault="00B56B55" w:rsidP="00B56B55">
            <w:pPr>
              <w:widowControl/>
              <w:snapToGrid w:val="0"/>
              <w:jc w:val="center"/>
              <w:rPr>
                <w:rFonts w:ascii="標楷體" w:eastAsia="標楷體" w:hAnsi="標楷體" w:cs="Times New Roman"/>
                <w:szCs w:val="24"/>
              </w:rPr>
            </w:pPr>
            <w:r w:rsidRPr="00B56B55">
              <w:rPr>
                <w:rFonts w:ascii="標楷體" w:eastAsia="標楷體" w:hAnsi="標楷體" w:cs="Times New Roman" w:hint="eastAsia"/>
                <w:szCs w:val="24"/>
              </w:rPr>
              <w:t>學業適應</w:t>
            </w:r>
          </w:p>
        </w:tc>
        <w:tc>
          <w:tcPr>
            <w:tcW w:w="8151" w:type="dxa"/>
            <w:vAlign w:val="center"/>
          </w:tcPr>
          <w:p w:rsidR="00B56B55" w:rsidRPr="00B56B55" w:rsidRDefault="00B56B55" w:rsidP="00B56B55">
            <w:pPr>
              <w:widowControl/>
              <w:snapToGrid w:val="0"/>
              <w:rPr>
                <w:rFonts w:ascii="標楷體" w:eastAsia="標楷體" w:hAnsi="標楷體" w:cs="Times New Roman"/>
                <w:szCs w:val="24"/>
              </w:rPr>
            </w:pPr>
            <w:r w:rsidRPr="00B56B55">
              <w:rPr>
                <w:rFonts w:ascii="標楷體" w:eastAsia="標楷體" w:hAnsi="標楷體" w:cs="Times New Roman" w:hint="eastAsia"/>
                <w:szCs w:val="24"/>
              </w:rPr>
              <w:t>因情緒或行為問題導致學習動機低落或學業表現不佳。</w:t>
            </w:r>
          </w:p>
        </w:tc>
      </w:tr>
      <w:tr w:rsidR="00B56B55" w:rsidRPr="00B56B55" w:rsidTr="00B56B55">
        <w:trPr>
          <w:trHeight w:val="690"/>
        </w:trPr>
        <w:tc>
          <w:tcPr>
            <w:tcW w:w="1455" w:type="dxa"/>
            <w:vAlign w:val="center"/>
          </w:tcPr>
          <w:p w:rsidR="00B56B55" w:rsidRPr="00B56B55" w:rsidRDefault="00B56B55" w:rsidP="00B56B55">
            <w:pPr>
              <w:widowControl/>
              <w:snapToGrid w:val="0"/>
              <w:jc w:val="center"/>
              <w:rPr>
                <w:rFonts w:ascii="標楷體" w:eastAsia="標楷體" w:hAnsi="標楷體" w:cs="Times New Roman"/>
                <w:szCs w:val="24"/>
              </w:rPr>
            </w:pPr>
            <w:r w:rsidRPr="00B56B55">
              <w:rPr>
                <w:rFonts w:ascii="標楷體" w:eastAsia="標楷體" w:hAnsi="標楷體" w:cs="Times New Roman" w:hint="eastAsia"/>
                <w:szCs w:val="24"/>
              </w:rPr>
              <w:t>社會適應</w:t>
            </w:r>
          </w:p>
        </w:tc>
        <w:tc>
          <w:tcPr>
            <w:tcW w:w="8151" w:type="dxa"/>
            <w:vAlign w:val="center"/>
          </w:tcPr>
          <w:p w:rsidR="00B56B55" w:rsidRPr="00B56B55" w:rsidRDefault="00B56B55" w:rsidP="00B56B55">
            <w:pPr>
              <w:widowControl/>
              <w:snapToGrid w:val="0"/>
              <w:rPr>
                <w:rFonts w:ascii="標楷體" w:eastAsia="標楷體" w:hAnsi="標楷體" w:cs="Times New Roman"/>
                <w:szCs w:val="24"/>
              </w:rPr>
            </w:pPr>
            <w:r w:rsidRPr="00B56B55">
              <w:rPr>
                <w:rFonts w:ascii="標楷體" w:eastAsia="標楷體" w:hAnsi="標楷體" w:cs="Times New Roman" w:hint="eastAsia"/>
                <w:szCs w:val="24"/>
              </w:rPr>
              <w:t>群性不足，無法參與團體學習、活動、生活或在學校一般團體生活中會有干擾或危險行為。</w:t>
            </w:r>
          </w:p>
        </w:tc>
      </w:tr>
      <w:tr w:rsidR="00B56B55" w:rsidRPr="00B56B55" w:rsidTr="00B56B55">
        <w:trPr>
          <w:trHeight w:val="784"/>
        </w:trPr>
        <w:tc>
          <w:tcPr>
            <w:tcW w:w="1455" w:type="dxa"/>
            <w:vAlign w:val="center"/>
          </w:tcPr>
          <w:p w:rsidR="00B56B55" w:rsidRPr="00B56B55" w:rsidRDefault="00B56B55" w:rsidP="00B56B55">
            <w:pPr>
              <w:widowControl/>
              <w:snapToGrid w:val="0"/>
              <w:jc w:val="center"/>
              <w:rPr>
                <w:rFonts w:ascii="標楷體" w:eastAsia="標楷體" w:hAnsi="標楷體" w:cs="Times New Roman"/>
                <w:szCs w:val="24"/>
              </w:rPr>
            </w:pPr>
            <w:r w:rsidRPr="00B56B55">
              <w:rPr>
                <w:rFonts w:ascii="標楷體" w:eastAsia="標楷體" w:hAnsi="標楷體" w:cs="Times New Roman" w:hint="eastAsia"/>
                <w:szCs w:val="24"/>
              </w:rPr>
              <w:t>人際適應</w:t>
            </w:r>
          </w:p>
        </w:tc>
        <w:tc>
          <w:tcPr>
            <w:tcW w:w="8151" w:type="dxa"/>
            <w:vAlign w:val="center"/>
          </w:tcPr>
          <w:p w:rsidR="00B56B55" w:rsidRPr="00B56B55" w:rsidRDefault="00B56B55" w:rsidP="00B56B55">
            <w:pPr>
              <w:widowControl/>
              <w:snapToGrid w:val="0"/>
              <w:rPr>
                <w:rFonts w:ascii="標楷體" w:eastAsia="標楷體" w:hAnsi="標楷體" w:cs="Times New Roman"/>
                <w:szCs w:val="24"/>
              </w:rPr>
            </w:pPr>
            <w:r w:rsidRPr="00B56B55">
              <w:rPr>
                <w:rFonts w:ascii="標楷體" w:eastAsia="標楷體" w:hAnsi="標楷體" w:cs="Times New Roman" w:hint="eastAsia"/>
                <w:szCs w:val="24"/>
              </w:rPr>
              <w:t>在學校與教師或同儕不能建立或維持適當的人際關係，例如以不當方式與人互動、受全班同學排斥、孤立或忽視、與多數任課教師維持一般師生關係有困難等，即使在校外或其他環境也不易結交朋友。</w:t>
            </w:r>
          </w:p>
        </w:tc>
      </w:tr>
      <w:tr w:rsidR="00B56B55" w:rsidRPr="00B56B55" w:rsidTr="00B56B55">
        <w:trPr>
          <w:trHeight w:val="784"/>
        </w:trPr>
        <w:tc>
          <w:tcPr>
            <w:tcW w:w="1455" w:type="dxa"/>
            <w:vAlign w:val="center"/>
          </w:tcPr>
          <w:p w:rsidR="00B56B55" w:rsidRPr="00B56B55" w:rsidRDefault="00B56B55" w:rsidP="00B56B55">
            <w:pPr>
              <w:widowControl/>
              <w:snapToGrid w:val="0"/>
              <w:jc w:val="center"/>
              <w:rPr>
                <w:rFonts w:ascii="標楷體" w:eastAsia="標楷體" w:hAnsi="標楷體" w:cs="Times New Roman"/>
                <w:szCs w:val="24"/>
              </w:rPr>
            </w:pPr>
            <w:r w:rsidRPr="00B56B55">
              <w:rPr>
                <w:rFonts w:ascii="標楷體" w:eastAsia="標楷體" w:hAnsi="標楷體" w:cs="Times New Roman" w:hint="eastAsia"/>
                <w:szCs w:val="24"/>
              </w:rPr>
              <w:t>生活適應</w:t>
            </w:r>
          </w:p>
        </w:tc>
        <w:tc>
          <w:tcPr>
            <w:tcW w:w="8151" w:type="dxa"/>
            <w:vAlign w:val="center"/>
          </w:tcPr>
          <w:p w:rsidR="00B56B55" w:rsidRPr="00B56B55" w:rsidRDefault="00B56B55" w:rsidP="00B56B55">
            <w:pPr>
              <w:widowControl/>
              <w:snapToGrid w:val="0"/>
              <w:rPr>
                <w:rFonts w:ascii="標楷體" w:eastAsia="標楷體" w:hAnsi="標楷體" w:cs="Times New Roman"/>
                <w:szCs w:val="24"/>
              </w:rPr>
            </w:pPr>
            <w:r w:rsidRPr="00B56B55">
              <w:rPr>
                <w:rFonts w:ascii="標楷體" w:eastAsia="標楷體" w:hAnsi="標楷體" w:cs="Times New Roman" w:hint="eastAsia"/>
                <w:szCs w:val="24"/>
              </w:rPr>
              <w:t>適應學校生活作息有困難，無法獨立完成個人例行的工作，例如清潔工作、值日生或其他例行事務。</w:t>
            </w:r>
          </w:p>
        </w:tc>
      </w:tr>
    </w:tbl>
    <w:p w:rsidR="00B56B55" w:rsidRPr="00B56B55" w:rsidRDefault="00B56B55" w:rsidP="00B56B55">
      <w:pPr>
        <w:widowControl/>
        <w:rPr>
          <w:rFonts w:ascii="標楷體" w:eastAsia="標楷體" w:hAnsi="標楷體"/>
          <w:szCs w:val="24"/>
        </w:rPr>
      </w:pPr>
    </w:p>
    <w:p w:rsidR="00B56B55" w:rsidRPr="00B56B55" w:rsidRDefault="00B56B55" w:rsidP="00B56B55">
      <w:pPr>
        <w:widowControl/>
        <w:rPr>
          <w:rFonts w:ascii="標楷體" w:eastAsia="標楷體" w:hAnsi="標楷體"/>
          <w:szCs w:val="24"/>
        </w:rPr>
      </w:pPr>
    </w:p>
    <w:p w:rsidR="00B56B55" w:rsidRPr="00B56B55" w:rsidRDefault="00B56B55" w:rsidP="00B56B55">
      <w:pPr>
        <w:widowControl/>
        <w:rPr>
          <w:rFonts w:ascii="標楷體" w:eastAsia="標楷體" w:hAnsi="標楷體"/>
          <w:szCs w:val="24"/>
        </w:rPr>
      </w:pPr>
    </w:p>
    <w:p w:rsidR="00B56B55" w:rsidRPr="00B56B55" w:rsidRDefault="00B56B55" w:rsidP="00B56B55">
      <w:pPr>
        <w:widowControl/>
        <w:rPr>
          <w:rFonts w:ascii="標楷體" w:eastAsia="標楷體" w:hAnsi="標楷體"/>
          <w:szCs w:val="24"/>
        </w:rPr>
      </w:pPr>
    </w:p>
    <w:p w:rsidR="00B56B55" w:rsidRPr="00B56B55" w:rsidRDefault="00B56B55" w:rsidP="00441E2B">
      <w:pPr>
        <w:pStyle w:val="a3"/>
        <w:widowControl/>
        <w:spacing w:beforeLines="50"/>
        <w:ind w:leftChars="0" w:left="0"/>
        <w:rPr>
          <w:rFonts w:ascii="標楷體" w:eastAsia="標楷體" w:hAnsi="標楷體"/>
          <w:b/>
        </w:rPr>
      </w:pPr>
    </w:p>
    <w:p w:rsidR="00B56B55" w:rsidRPr="00B56B55" w:rsidRDefault="00B56B55" w:rsidP="00441E2B">
      <w:pPr>
        <w:pStyle w:val="a3"/>
        <w:widowControl/>
        <w:spacing w:beforeLines="50"/>
        <w:ind w:leftChars="0" w:left="0"/>
        <w:rPr>
          <w:rFonts w:ascii="標楷體" w:eastAsia="標楷體" w:hAnsi="標楷體"/>
          <w:b/>
        </w:rPr>
      </w:pPr>
    </w:p>
    <w:p w:rsidR="00B56B55" w:rsidRPr="00B56B55" w:rsidRDefault="00B56B55" w:rsidP="00441E2B">
      <w:pPr>
        <w:pStyle w:val="a3"/>
        <w:widowControl/>
        <w:spacing w:beforeLines="50"/>
        <w:ind w:leftChars="0" w:left="0"/>
        <w:rPr>
          <w:rFonts w:ascii="標楷體" w:eastAsia="標楷體" w:hAnsi="標楷體"/>
          <w:b/>
        </w:rPr>
      </w:pPr>
    </w:p>
    <w:p w:rsidR="00B56B55" w:rsidRPr="00B56B55" w:rsidRDefault="00B56B55" w:rsidP="00441E2B">
      <w:pPr>
        <w:pStyle w:val="a3"/>
        <w:widowControl/>
        <w:spacing w:beforeLines="50"/>
        <w:ind w:leftChars="0" w:left="0"/>
        <w:rPr>
          <w:rFonts w:ascii="標楷體" w:eastAsia="標楷體" w:hAnsi="標楷體"/>
          <w:b/>
        </w:rPr>
      </w:pPr>
    </w:p>
    <w:p w:rsidR="00B56B55" w:rsidRPr="00B56B55" w:rsidRDefault="00B56B55" w:rsidP="00441E2B">
      <w:pPr>
        <w:pStyle w:val="a3"/>
        <w:widowControl/>
        <w:spacing w:beforeLines="50"/>
        <w:ind w:leftChars="0" w:left="0"/>
        <w:rPr>
          <w:rFonts w:ascii="標楷體" w:eastAsia="標楷體" w:hAnsi="標楷體"/>
          <w:b/>
        </w:rPr>
      </w:pPr>
    </w:p>
    <w:p w:rsidR="00B56B55" w:rsidRPr="00392B68" w:rsidRDefault="00B56B55" w:rsidP="00441E2B">
      <w:pPr>
        <w:pStyle w:val="a3"/>
        <w:widowControl/>
        <w:numPr>
          <w:ilvl w:val="0"/>
          <w:numId w:val="7"/>
        </w:numPr>
        <w:spacing w:beforeLines="50"/>
        <w:ind w:leftChars="0"/>
        <w:rPr>
          <w:rFonts w:ascii="標楷體" w:eastAsia="標楷體" w:hAnsi="標楷體"/>
        </w:rPr>
      </w:pPr>
      <w:r w:rsidRPr="00392B68">
        <w:rPr>
          <w:rFonts w:ascii="標楷體" w:eastAsia="標楷體" w:hAnsi="標楷體" w:hint="eastAsia"/>
        </w:rPr>
        <w:t>參考醫療診斷</w:t>
      </w:r>
      <w:r w:rsidR="00C51818" w:rsidRPr="00392B68">
        <w:rPr>
          <w:rFonts w:ascii="標楷體" w:eastAsia="標楷體" w:hAnsi="標楷體" w:hint="eastAsia"/>
        </w:rPr>
        <w:t>：</w:t>
      </w:r>
    </w:p>
    <w:p w:rsidR="00B56B55" w:rsidRPr="00560E76" w:rsidRDefault="009A48CA" w:rsidP="00441E2B">
      <w:pPr>
        <w:pStyle w:val="a3"/>
        <w:widowControl/>
        <w:numPr>
          <w:ilvl w:val="0"/>
          <w:numId w:val="11"/>
        </w:numPr>
        <w:spacing w:beforeLines="50"/>
        <w:ind w:leftChars="0" w:left="993" w:hanging="284"/>
        <w:rPr>
          <w:rFonts w:ascii="標楷體" w:eastAsia="標楷體" w:hAnsi="標楷體"/>
        </w:rPr>
      </w:pPr>
      <w:r w:rsidRPr="00560E76">
        <w:rPr>
          <w:rFonts w:ascii="標楷體" w:eastAsia="標楷體" w:hAnsi="標楷體" w:hint="eastAsia"/>
        </w:rPr>
        <w:t>醫療診斷</w:t>
      </w:r>
      <w:r w:rsidR="00B56B55" w:rsidRPr="00560E76">
        <w:rPr>
          <w:rFonts w:ascii="標楷體" w:eastAsia="標楷體" w:hAnsi="標楷體" w:hint="eastAsia"/>
        </w:rPr>
        <w:t>需</w:t>
      </w:r>
      <w:r w:rsidR="00CE68CE" w:rsidRPr="00560E76">
        <w:rPr>
          <w:rFonts w:ascii="標楷體" w:eastAsia="標楷體" w:hAnsi="標楷體" w:hint="eastAsia"/>
        </w:rPr>
        <w:t>為一年</w:t>
      </w:r>
      <w:r w:rsidRPr="00560E76">
        <w:rPr>
          <w:rFonts w:ascii="標楷體" w:eastAsia="標楷體" w:hAnsi="標楷體" w:hint="eastAsia"/>
        </w:rPr>
        <w:t>內</w:t>
      </w:r>
      <w:r w:rsidR="00B56B55" w:rsidRPr="00560E76">
        <w:rPr>
          <w:rFonts w:ascii="標楷體" w:eastAsia="標楷體" w:hAnsi="標楷體" w:hint="eastAsia"/>
        </w:rPr>
        <w:t>區域級以上</w:t>
      </w:r>
      <w:r w:rsidRPr="00560E76">
        <w:rPr>
          <w:rFonts w:ascii="標楷體" w:eastAsia="標楷體" w:hAnsi="標楷體" w:hint="eastAsia"/>
        </w:rPr>
        <w:t>醫院(兒童心智科、兒童精神科)所開立</w:t>
      </w:r>
      <w:r w:rsidR="00B56B55" w:rsidRPr="00560E76">
        <w:rPr>
          <w:rFonts w:ascii="標楷體" w:eastAsia="標楷體" w:hAnsi="標楷體" w:hint="eastAsia"/>
        </w:rPr>
        <w:t>的</w:t>
      </w:r>
      <w:r w:rsidRPr="00560E76">
        <w:rPr>
          <w:rFonts w:ascii="標楷體" w:eastAsia="標楷體" w:hAnsi="標楷體" w:hint="eastAsia"/>
        </w:rPr>
        <w:t>證明</w:t>
      </w:r>
      <w:r w:rsidR="00B56B55" w:rsidRPr="00560E76">
        <w:rPr>
          <w:rFonts w:ascii="標楷體" w:eastAsia="標楷體" w:hAnsi="標楷體" w:hint="eastAsia"/>
        </w:rPr>
        <w:t>。</w:t>
      </w:r>
    </w:p>
    <w:p w:rsidR="00B56B55" w:rsidRPr="00560E76" w:rsidRDefault="00B56B55" w:rsidP="00556DEF">
      <w:pPr>
        <w:pStyle w:val="a3"/>
        <w:widowControl/>
        <w:numPr>
          <w:ilvl w:val="0"/>
          <w:numId w:val="11"/>
        </w:numPr>
        <w:spacing w:beforeLines="50"/>
        <w:ind w:leftChars="0" w:left="993" w:hanging="284"/>
        <w:rPr>
          <w:rFonts w:ascii="標楷體" w:eastAsia="標楷體" w:hAnsi="標楷體"/>
        </w:rPr>
      </w:pPr>
      <w:r w:rsidRPr="00560E76">
        <w:rPr>
          <w:rFonts w:ascii="標楷體" w:eastAsia="標楷體" w:hAnsi="標楷體" w:hint="eastAsia"/>
        </w:rPr>
        <w:t>醫師診斷為情緒行為障礙</w:t>
      </w:r>
      <w:r w:rsidR="004F020B" w:rsidRPr="00560E76">
        <w:rPr>
          <w:rFonts w:ascii="標楷體" w:eastAsia="標楷體" w:hAnsi="標楷體" w:hint="eastAsia"/>
        </w:rPr>
        <w:t>者仍需考量學校適應情形，</w:t>
      </w:r>
      <w:r w:rsidRPr="00560E76">
        <w:rPr>
          <w:rFonts w:ascii="標楷體" w:eastAsia="標楷體" w:hAnsi="標楷體" w:hint="eastAsia"/>
        </w:rPr>
        <w:t>作為</w:t>
      </w:r>
      <w:r w:rsidR="00EE6A9A" w:rsidRPr="00560E76">
        <w:rPr>
          <w:rFonts w:ascii="標楷體" w:eastAsia="標楷體" w:hAnsi="標楷體" w:hint="eastAsia"/>
        </w:rPr>
        <w:t>身分</w:t>
      </w:r>
      <w:r w:rsidRPr="00560E76">
        <w:rPr>
          <w:rFonts w:ascii="標楷體" w:eastAsia="標楷體" w:hAnsi="標楷體" w:hint="eastAsia"/>
        </w:rPr>
        <w:t>判定之</w:t>
      </w:r>
      <w:r w:rsidR="004F020B" w:rsidRPr="00560E76">
        <w:rPr>
          <w:rFonts w:ascii="標楷體" w:eastAsia="標楷體" w:hAnsi="標楷體" w:hint="eastAsia"/>
        </w:rPr>
        <w:t>依據</w:t>
      </w:r>
      <w:r w:rsidRPr="00560E76">
        <w:rPr>
          <w:rFonts w:ascii="標楷體" w:eastAsia="標楷體" w:hAnsi="標楷體" w:hint="eastAsia"/>
        </w:rPr>
        <w:t>。</w:t>
      </w:r>
    </w:p>
    <w:sectPr w:rsidR="00B56B55" w:rsidRPr="00560E76" w:rsidSect="00422640">
      <w:footerReference w:type="default" r:id="rId7"/>
      <w:pgSz w:w="11906" w:h="16838"/>
      <w:pgMar w:top="720" w:right="720" w:bottom="720" w:left="720" w:header="851" w:footer="992" w:gutter="0"/>
      <w:pgNumType w:start="6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21A" w:rsidRDefault="0019021A" w:rsidP="00EA223D">
      <w:r>
        <w:separator/>
      </w:r>
    </w:p>
  </w:endnote>
  <w:endnote w:type="continuationSeparator" w:id="0">
    <w:p w:rsidR="0019021A" w:rsidRDefault="0019021A" w:rsidP="00EA2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98352"/>
      <w:docPartObj>
        <w:docPartGallery w:val="Page Numbers (Bottom of Page)"/>
        <w:docPartUnique/>
      </w:docPartObj>
    </w:sdtPr>
    <w:sdtContent>
      <w:p w:rsidR="00422640" w:rsidRDefault="00556DEF">
        <w:pPr>
          <w:pStyle w:val="a6"/>
          <w:jc w:val="center"/>
        </w:pPr>
        <w:fldSimple w:instr=" PAGE   \* MERGEFORMAT ">
          <w:r w:rsidR="00441E2B" w:rsidRPr="00441E2B">
            <w:rPr>
              <w:noProof/>
              <w:lang w:val="zh-TW"/>
            </w:rPr>
            <w:t>64</w:t>
          </w:r>
        </w:fldSimple>
      </w:p>
    </w:sdtContent>
  </w:sdt>
  <w:p w:rsidR="00422640" w:rsidRDefault="004226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21A" w:rsidRDefault="0019021A" w:rsidP="00EA223D">
      <w:r>
        <w:separator/>
      </w:r>
    </w:p>
  </w:footnote>
  <w:footnote w:type="continuationSeparator" w:id="0">
    <w:p w:rsidR="0019021A" w:rsidRDefault="0019021A" w:rsidP="00EA2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255"/>
    <w:multiLevelType w:val="hybridMultilevel"/>
    <w:tmpl w:val="3D2C1390"/>
    <w:lvl w:ilvl="0" w:tplc="BC6634A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BA588A"/>
    <w:multiLevelType w:val="hybridMultilevel"/>
    <w:tmpl w:val="D03C18A0"/>
    <w:lvl w:ilvl="0" w:tplc="05D8A95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71D6230"/>
    <w:multiLevelType w:val="hybridMultilevel"/>
    <w:tmpl w:val="0C7C450A"/>
    <w:lvl w:ilvl="0" w:tplc="24D67F26">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1EAD0C8C"/>
    <w:multiLevelType w:val="hybridMultilevel"/>
    <w:tmpl w:val="0BA2B72E"/>
    <w:lvl w:ilvl="0" w:tplc="05D8A95E">
      <w:start w:val="1"/>
      <w:numFmt w:val="taiwaneseCountingThousand"/>
      <w:lvlText w:val="(%1)"/>
      <w:lvlJc w:val="left"/>
      <w:pPr>
        <w:ind w:left="949" w:hanging="480"/>
      </w:pPr>
      <w:rPr>
        <w:rFonts w:hint="eastAsia"/>
      </w:rPr>
    </w:lvl>
    <w:lvl w:ilvl="1" w:tplc="04090019" w:tentative="1">
      <w:start w:val="1"/>
      <w:numFmt w:val="ideographTraditional"/>
      <w:lvlText w:val="%2、"/>
      <w:lvlJc w:val="left"/>
      <w:pPr>
        <w:ind w:left="1429" w:hanging="480"/>
      </w:pPr>
    </w:lvl>
    <w:lvl w:ilvl="2" w:tplc="0409001B" w:tentative="1">
      <w:start w:val="1"/>
      <w:numFmt w:val="lowerRoman"/>
      <w:lvlText w:val="%3."/>
      <w:lvlJc w:val="right"/>
      <w:pPr>
        <w:ind w:left="1909" w:hanging="480"/>
      </w:pPr>
    </w:lvl>
    <w:lvl w:ilvl="3" w:tplc="0409000F" w:tentative="1">
      <w:start w:val="1"/>
      <w:numFmt w:val="decimal"/>
      <w:lvlText w:val="%4."/>
      <w:lvlJc w:val="left"/>
      <w:pPr>
        <w:ind w:left="2389" w:hanging="480"/>
      </w:pPr>
    </w:lvl>
    <w:lvl w:ilvl="4" w:tplc="04090019" w:tentative="1">
      <w:start w:val="1"/>
      <w:numFmt w:val="ideographTraditional"/>
      <w:lvlText w:val="%5、"/>
      <w:lvlJc w:val="left"/>
      <w:pPr>
        <w:ind w:left="2869" w:hanging="480"/>
      </w:pPr>
    </w:lvl>
    <w:lvl w:ilvl="5" w:tplc="0409001B" w:tentative="1">
      <w:start w:val="1"/>
      <w:numFmt w:val="lowerRoman"/>
      <w:lvlText w:val="%6."/>
      <w:lvlJc w:val="right"/>
      <w:pPr>
        <w:ind w:left="3349" w:hanging="480"/>
      </w:pPr>
    </w:lvl>
    <w:lvl w:ilvl="6" w:tplc="0409000F" w:tentative="1">
      <w:start w:val="1"/>
      <w:numFmt w:val="decimal"/>
      <w:lvlText w:val="%7."/>
      <w:lvlJc w:val="left"/>
      <w:pPr>
        <w:ind w:left="3829" w:hanging="480"/>
      </w:pPr>
    </w:lvl>
    <w:lvl w:ilvl="7" w:tplc="04090019" w:tentative="1">
      <w:start w:val="1"/>
      <w:numFmt w:val="ideographTraditional"/>
      <w:lvlText w:val="%8、"/>
      <w:lvlJc w:val="left"/>
      <w:pPr>
        <w:ind w:left="4309" w:hanging="480"/>
      </w:pPr>
    </w:lvl>
    <w:lvl w:ilvl="8" w:tplc="0409001B" w:tentative="1">
      <w:start w:val="1"/>
      <w:numFmt w:val="lowerRoman"/>
      <w:lvlText w:val="%9."/>
      <w:lvlJc w:val="right"/>
      <w:pPr>
        <w:ind w:left="4789" w:hanging="480"/>
      </w:pPr>
    </w:lvl>
  </w:abstractNum>
  <w:abstractNum w:abstractNumId="4">
    <w:nsid w:val="35F11560"/>
    <w:multiLevelType w:val="hybridMultilevel"/>
    <w:tmpl w:val="883A9160"/>
    <w:lvl w:ilvl="0" w:tplc="24D67F26">
      <w:start w:val="1"/>
      <w:numFmt w:val="decimal"/>
      <w:lvlText w:val="%1."/>
      <w:lvlJc w:val="left"/>
      <w:pPr>
        <w:ind w:left="1309" w:hanging="480"/>
      </w:pPr>
      <w:rPr>
        <w:rFonts w:hint="eastAsia"/>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5">
    <w:nsid w:val="530C4846"/>
    <w:multiLevelType w:val="hybridMultilevel"/>
    <w:tmpl w:val="F7725E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5BC27B24"/>
    <w:multiLevelType w:val="hybridMultilevel"/>
    <w:tmpl w:val="B7F84FD0"/>
    <w:lvl w:ilvl="0" w:tplc="05D8A95E">
      <w:start w:val="1"/>
      <w:numFmt w:val="taiwaneseCountingThousand"/>
      <w:lvlText w:val="(%1)"/>
      <w:lvlJc w:val="left"/>
      <w:pPr>
        <w:ind w:left="949" w:hanging="480"/>
      </w:pPr>
      <w:rPr>
        <w:rFonts w:hint="eastAsia"/>
      </w:rPr>
    </w:lvl>
    <w:lvl w:ilvl="1" w:tplc="04090019" w:tentative="1">
      <w:start w:val="1"/>
      <w:numFmt w:val="ideographTraditional"/>
      <w:lvlText w:val="%2、"/>
      <w:lvlJc w:val="left"/>
      <w:pPr>
        <w:ind w:left="1429" w:hanging="480"/>
      </w:pPr>
    </w:lvl>
    <w:lvl w:ilvl="2" w:tplc="0409001B" w:tentative="1">
      <w:start w:val="1"/>
      <w:numFmt w:val="lowerRoman"/>
      <w:lvlText w:val="%3."/>
      <w:lvlJc w:val="right"/>
      <w:pPr>
        <w:ind w:left="1909" w:hanging="480"/>
      </w:pPr>
    </w:lvl>
    <w:lvl w:ilvl="3" w:tplc="0409000F" w:tentative="1">
      <w:start w:val="1"/>
      <w:numFmt w:val="decimal"/>
      <w:lvlText w:val="%4."/>
      <w:lvlJc w:val="left"/>
      <w:pPr>
        <w:ind w:left="2389" w:hanging="480"/>
      </w:pPr>
    </w:lvl>
    <w:lvl w:ilvl="4" w:tplc="04090019" w:tentative="1">
      <w:start w:val="1"/>
      <w:numFmt w:val="ideographTraditional"/>
      <w:lvlText w:val="%5、"/>
      <w:lvlJc w:val="left"/>
      <w:pPr>
        <w:ind w:left="2869" w:hanging="480"/>
      </w:pPr>
    </w:lvl>
    <w:lvl w:ilvl="5" w:tplc="0409001B" w:tentative="1">
      <w:start w:val="1"/>
      <w:numFmt w:val="lowerRoman"/>
      <w:lvlText w:val="%6."/>
      <w:lvlJc w:val="right"/>
      <w:pPr>
        <w:ind w:left="3349" w:hanging="480"/>
      </w:pPr>
    </w:lvl>
    <w:lvl w:ilvl="6" w:tplc="0409000F" w:tentative="1">
      <w:start w:val="1"/>
      <w:numFmt w:val="decimal"/>
      <w:lvlText w:val="%7."/>
      <w:lvlJc w:val="left"/>
      <w:pPr>
        <w:ind w:left="3829" w:hanging="480"/>
      </w:pPr>
    </w:lvl>
    <w:lvl w:ilvl="7" w:tplc="04090019" w:tentative="1">
      <w:start w:val="1"/>
      <w:numFmt w:val="ideographTraditional"/>
      <w:lvlText w:val="%8、"/>
      <w:lvlJc w:val="left"/>
      <w:pPr>
        <w:ind w:left="4309" w:hanging="480"/>
      </w:pPr>
    </w:lvl>
    <w:lvl w:ilvl="8" w:tplc="0409001B" w:tentative="1">
      <w:start w:val="1"/>
      <w:numFmt w:val="lowerRoman"/>
      <w:lvlText w:val="%9."/>
      <w:lvlJc w:val="right"/>
      <w:pPr>
        <w:ind w:left="4789" w:hanging="480"/>
      </w:pPr>
    </w:lvl>
  </w:abstractNum>
  <w:abstractNum w:abstractNumId="7">
    <w:nsid w:val="5EBA5EE2"/>
    <w:multiLevelType w:val="hybridMultilevel"/>
    <w:tmpl w:val="B5A05422"/>
    <w:lvl w:ilvl="0" w:tplc="24D67F26">
      <w:start w:val="1"/>
      <w:numFmt w:val="decimal"/>
      <w:lvlText w:val="%1."/>
      <w:lvlJc w:val="left"/>
      <w:pPr>
        <w:ind w:left="1309" w:hanging="480"/>
      </w:pPr>
      <w:rPr>
        <w:rFonts w:hint="eastAsia"/>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8">
    <w:nsid w:val="62871F46"/>
    <w:multiLevelType w:val="hybridMultilevel"/>
    <w:tmpl w:val="098C9738"/>
    <w:lvl w:ilvl="0" w:tplc="24D67F26">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6DDB41F2"/>
    <w:multiLevelType w:val="hybridMultilevel"/>
    <w:tmpl w:val="4B1A89F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7595D04"/>
    <w:multiLevelType w:val="hybridMultilevel"/>
    <w:tmpl w:val="5E5C5E04"/>
    <w:lvl w:ilvl="0" w:tplc="24D67F26">
      <w:start w:val="1"/>
      <w:numFmt w:val="decimal"/>
      <w:lvlText w:val="%1."/>
      <w:lvlJc w:val="left"/>
      <w:pPr>
        <w:ind w:left="1309" w:hanging="480"/>
      </w:pPr>
      <w:rPr>
        <w:rFonts w:hint="eastAsia"/>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num w:numId="1">
    <w:abstractNumId w:val="5"/>
  </w:num>
  <w:num w:numId="2">
    <w:abstractNumId w:val="9"/>
  </w:num>
  <w:num w:numId="3">
    <w:abstractNumId w:val="0"/>
  </w:num>
  <w:num w:numId="4">
    <w:abstractNumId w:val="6"/>
  </w:num>
  <w:num w:numId="5">
    <w:abstractNumId w:val="7"/>
  </w:num>
  <w:num w:numId="6">
    <w:abstractNumId w:val="10"/>
  </w:num>
  <w:num w:numId="7">
    <w:abstractNumId w:val="3"/>
  </w:num>
  <w:num w:numId="8">
    <w:abstractNumId w:val="4"/>
  </w:num>
  <w:num w:numId="9">
    <w:abstractNumId w:val="2"/>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6B55"/>
    <w:rsid w:val="00015D1C"/>
    <w:rsid w:val="0019021A"/>
    <w:rsid w:val="00284B43"/>
    <w:rsid w:val="002C2C37"/>
    <w:rsid w:val="003809AC"/>
    <w:rsid w:val="00391936"/>
    <w:rsid w:val="00392B68"/>
    <w:rsid w:val="00422640"/>
    <w:rsid w:val="00441E2B"/>
    <w:rsid w:val="004B3239"/>
    <w:rsid w:val="004F020B"/>
    <w:rsid w:val="00556DEF"/>
    <w:rsid w:val="00560E76"/>
    <w:rsid w:val="00586923"/>
    <w:rsid w:val="007F654A"/>
    <w:rsid w:val="008A4EBF"/>
    <w:rsid w:val="008B03EC"/>
    <w:rsid w:val="009A48CA"/>
    <w:rsid w:val="00A96DEB"/>
    <w:rsid w:val="00B01FA1"/>
    <w:rsid w:val="00B07B27"/>
    <w:rsid w:val="00B56B55"/>
    <w:rsid w:val="00B675E8"/>
    <w:rsid w:val="00C26706"/>
    <w:rsid w:val="00C51818"/>
    <w:rsid w:val="00CC78DB"/>
    <w:rsid w:val="00CE68CE"/>
    <w:rsid w:val="00D7699B"/>
    <w:rsid w:val="00D9120B"/>
    <w:rsid w:val="00E45814"/>
    <w:rsid w:val="00EA223D"/>
    <w:rsid w:val="00EE6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81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B55"/>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EA223D"/>
    <w:pPr>
      <w:tabs>
        <w:tab w:val="center" w:pos="4153"/>
        <w:tab w:val="right" w:pos="8306"/>
      </w:tabs>
      <w:snapToGrid w:val="0"/>
    </w:pPr>
    <w:rPr>
      <w:sz w:val="20"/>
      <w:szCs w:val="20"/>
    </w:rPr>
  </w:style>
  <w:style w:type="character" w:customStyle="1" w:styleId="a5">
    <w:name w:val="頁首 字元"/>
    <w:basedOn w:val="a0"/>
    <w:link w:val="a4"/>
    <w:uiPriority w:val="99"/>
    <w:rsid w:val="00EA223D"/>
    <w:rPr>
      <w:sz w:val="20"/>
      <w:szCs w:val="20"/>
    </w:rPr>
  </w:style>
  <w:style w:type="paragraph" w:styleId="a6">
    <w:name w:val="footer"/>
    <w:basedOn w:val="a"/>
    <w:link w:val="a7"/>
    <w:uiPriority w:val="99"/>
    <w:unhideWhenUsed/>
    <w:rsid w:val="00EA223D"/>
    <w:pPr>
      <w:tabs>
        <w:tab w:val="center" w:pos="4153"/>
        <w:tab w:val="right" w:pos="8306"/>
      </w:tabs>
      <w:snapToGrid w:val="0"/>
    </w:pPr>
    <w:rPr>
      <w:sz w:val="20"/>
      <w:szCs w:val="20"/>
    </w:rPr>
  </w:style>
  <w:style w:type="character" w:customStyle="1" w:styleId="a7">
    <w:name w:val="頁尾 字元"/>
    <w:basedOn w:val="a0"/>
    <w:link w:val="a6"/>
    <w:uiPriority w:val="99"/>
    <w:rsid w:val="00EA223D"/>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172</Words>
  <Characters>982</Characters>
  <Application>Microsoft Office Word</Application>
  <DocSecurity>0</DocSecurity>
  <Lines>8</Lines>
  <Paragraphs>2</Paragraphs>
  <ScaleCrop>false</ScaleCrop>
  <Company>C.M.T</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syrc</dc:creator>
  <cp:lastModifiedBy>mm</cp:lastModifiedBy>
  <cp:revision>14</cp:revision>
  <dcterms:created xsi:type="dcterms:W3CDTF">2012-11-19T06:29:00Z</dcterms:created>
  <dcterms:modified xsi:type="dcterms:W3CDTF">2013-01-07T11:11:00Z</dcterms:modified>
</cp:coreProperties>
</file>